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497D81" w:rsidTr="00497D81">
        <w:tc>
          <w:tcPr>
            <w:tcW w:w="9242" w:type="dxa"/>
          </w:tcPr>
          <w:p w:rsidR="00497D81" w:rsidRDefault="00497D81" w:rsidP="00497D8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 xml:space="preserve">SoP3: Website Development </w:t>
            </w:r>
            <w:r w:rsidR="00F2578B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and Exit Management</w:t>
            </w:r>
            <w:r w:rsidR="002D3C0B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Process</w:t>
            </w:r>
          </w:p>
          <w:p w:rsidR="00497D81" w:rsidRDefault="00497D81" w:rsidP="0059755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</w:p>
        </w:tc>
      </w:tr>
      <w:tr w:rsidR="00497D81" w:rsidTr="00497D81">
        <w:tc>
          <w:tcPr>
            <w:tcW w:w="9242" w:type="dxa"/>
          </w:tcPr>
          <w:p w:rsidR="00497D81" w:rsidRPr="00497D81" w:rsidRDefault="00497D81" w:rsidP="00497D81">
            <w:pPr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 w:rsidRPr="00497D8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Target group :</w:t>
            </w:r>
            <w:r w:rsidRPr="00497D81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For the empanelled agencies </w:t>
            </w:r>
          </w:p>
        </w:tc>
      </w:tr>
      <w:tr w:rsidR="00497D81" w:rsidTr="00497D81">
        <w:tc>
          <w:tcPr>
            <w:tcW w:w="9242" w:type="dxa"/>
          </w:tcPr>
          <w:p w:rsidR="00497D81" w:rsidRPr="00497D81" w:rsidRDefault="00497D81" w:rsidP="00497D81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497D8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Abbreviations</w:t>
            </w:r>
          </w:p>
          <w:p w:rsidR="00497D81" w:rsidRDefault="00497D81" w:rsidP="00497D81">
            <w:pPr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 w:rsidRPr="00497D81">
              <w:rPr>
                <w:rFonts w:ascii="Cambria" w:hAnsi="Cambria"/>
                <w:bCs/>
                <w:sz w:val="24"/>
                <w:szCs w:val="24"/>
                <w:lang w:val="en-US"/>
              </w:rPr>
              <w:t>SOP- Standard Operating Procedure</w:t>
            </w:r>
          </w:p>
          <w:p w:rsidR="00497D81" w:rsidRPr="00497D81" w:rsidRDefault="00497D81" w:rsidP="00497D81">
            <w:pPr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SWF-Standardised Website Framework</w:t>
            </w:r>
          </w:p>
          <w:p w:rsidR="00497D81" w:rsidRDefault="00BC7835" w:rsidP="00497D81">
            <w:pPr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BC7835">
              <w:rPr>
                <w:rFonts w:ascii="Cambria" w:hAnsi="Cambria"/>
                <w:bCs/>
                <w:sz w:val="24"/>
                <w:szCs w:val="24"/>
                <w:lang w:val="en-US"/>
              </w:rPr>
              <w:t>PSC-Project Steering Committee</w:t>
            </w:r>
          </w:p>
        </w:tc>
      </w:tr>
      <w:tr w:rsidR="00497D81" w:rsidTr="00497D81">
        <w:tc>
          <w:tcPr>
            <w:tcW w:w="9242" w:type="dxa"/>
          </w:tcPr>
          <w:p w:rsidR="00497D81" w:rsidRDefault="00497D81" w:rsidP="00497D81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497D8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Objective</w:t>
            </w:r>
          </w:p>
          <w:p w:rsidR="00497D81" w:rsidRPr="00497D81" w:rsidRDefault="00497D81" w:rsidP="00497D81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 w:rsidRPr="00497D81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There are four main stages of the website development </w:t>
            </w:r>
          </w:p>
          <w:p w:rsidR="00497D81" w:rsidRPr="00497D81" w:rsidRDefault="00497D81" w:rsidP="00497D81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497D81">
              <w:rPr>
                <w:rFonts w:ascii="Cambria" w:hAnsi="Cambria"/>
                <w:bCs/>
                <w:sz w:val="24"/>
                <w:szCs w:val="24"/>
                <w:lang w:val="en-US"/>
              </w:rPr>
              <w:t>The checkpoint procedures for each stage is detailed in this SOP</w:t>
            </w:r>
          </w:p>
        </w:tc>
      </w:tr>
    </w:tbl>
    <w:p w:rsidR="00497D81" w:rsidRDefault="00497D81" w:rsidP="0059755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1101"/>
        <w:gridCol w:w="8363"/>
      </w:tblGrid>
      <w:tr w:rsidR="00497D81" w:rsidRPr="007A5F47" w:rsidTr="00E1538C">
        <w:tc>
          <w:tcPr>
            <w:tcW w:w="1101" w:type="dxa"/>
          </w:tcPr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Stage 1</w:t>
            </w:r>
          </w:p>
        </w:tc>
        <w:tc>
          <w:tcPr>
            <w:tcW w:w="8363" w:type="dxa"/>
          </w:tcPr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Agency to inform the details of their respective Website development team and its structure</w:t>
            </w:r>
            <w:r>
              <w:rPr>
                <w:rStyle w:val="FootnoteReference"/>
                <w:rFonts w:ascii="Cambria" w:hAnsi="Cambria"/>
                <w:sz w:val="24"/>
                <w:szCs w:val="24"/>
              </w:rPr>
              <w:footnoteReference w:id="2"/>
            </w:r>
            <w:r w:rsidRPr="00BC783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C7835">
              <w:rPr>
                <w:rFonts w:ascii="Cambria" w:hAnsi="Cambria"/>
                <w:sz w:val="24"/>
                <w:szCs w:val="24"/>
              </w:rPr>
              <w:t>and</w:t>
            </w:r>
            <w:r w:rsidRPr="00BC7835">
              <w:rPr>
                <w:rFonts w:ascii="Cambria" w:hAnsi="Cambria"/>
                <w:sz w:val="24"/>
                <w:szCs w:val="24"/>
              </w:rPr>
              <w:t xml:space="preserve"> the Project Schedule to the department </w:t>
            </w:r>
            <w:r w:rsidR="00BC7835">
              <w:rPr>
                <w:rFonts w:ascii="Cambria" w:hAnsi="Cambria"/>
                <w:sz w:val="24"/>
                <w:szCs w:val="24"/>
              </w:rPr>
              <w:t>with a</w:t>
            </w:r>
            <w:r w:rsidRPr="00BC7835">
              <w:rPr>
                <w:rFonts w:ascii="Cambria" w:hAnsi="Cambria"/>
                <w:sz w:val="24"/>
                <w:szCs w:val="24"/>
              </w:rPr>
              <w:t xml:space="preserve"> copy to wdc.assam@gov.in.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Agency is to have the kick-off meeting with the ePrastuti Project Steering Committee</w:t>
            </w:r>
            <w:r w:rsidR="00BC7835">
              <w:rPr>
                <w:rFonts w:ascii="Cambria" w:hAnsi="Cambria"/>
                <w:sz w:val="24"/>
                <w:szCs w:val="24"/>
              </w:rPr>
              <w:t>(PSC)</w:t>
            </w:r>
            <w:r w:rsidRPr="00BC7835">
              <w:rPr>
                <w:rFonts w:ascii="Cambria" w:hAnsi="Cambria"/>
                <w:sz w:val="24"/>
                <w:szCs w:val="24"/>
              </w:rPr>
              <w:t xml:space="preserve"> of the department and its subordinate organisations.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Agency to study the existing web sites</w:t>
            </w:r>
            <w:r w:rsidR="00F2578B">
              <w:rPr>
                <w:rFonts w:ascii="Cambria" w:hAnsi="Cambria"/>
                <w:sz w:val="24"/>
                <w:szCs w:val="24"/>
              </w:rPr>
              <w:t xml:space="preserve"> of the department, if any</w:t>
            </w:r>
            <w:r w:rsidR="00F94140">
              <w:rPr>
                <w:rFonts w:ascii="Cambria" w:hAnsi="Cambria"/>
                <w:sz w:val="24"/>
                <w:szCs w:val="24"/>
              </w:rPr>
              <w:t>,</w:t>
            </w:r>
            <w:r w:rsidR="00F2578B">
              <w:rPr>
                <w:rFonts w:ascii="Cambria" w:hAnsi="Cambria"/>
                <w:sz w:val="24"/>
                <w:szCs w:val="24"/>
              </w:rPr>
              <w:t xml:space="preserve"> and prepare a presentation with the snapshots of the websites of other States, Centre and Global . The strengths available in each should be highlighted in the presentation.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To conduct workshops by following the checklist provided</w:t>
            </w:r>
            <w:r w:rsidR="00BC7835">
              <w:rPr>
                <w:rFonts w:ascii="Cambria" w:hAnsi="Cambria"/>
                <w:sz w:val="24"/>
                <w:szCs w:val="24"/>
              </w:rPr>
              <w:t xml:space="preserve"> in Annex.</w:t>
            </w:r>
            <w:r w:rsidRPr="00BC7835">
              <w:rPr>
                <w:rFonts w:ascii="Cambria" w:hAnsi="Cambria"/>
                <w:sz w:val="24"/>
                <w:szCs w:val="24"/>
              </w:rPr>
              <w:t>1 .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Prepare the wireframe of the website in the template of ePrastuti Standard Government Information Architecture</w:t>
            </w:r>
            <w:r w:rsidR="000F7D2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C7835">
              <w:rPr>
                <w:rFonts w:ascii="Cambria" w:hAnsi="Cambria"/>
                <w:sz w:val="24"/>
                <w:szCs w:val="24"/>
              </w:rPr>
              <w:t>(SGIA). The wireframe should include the Homepage with the images and contents of the Main Slider, Menu, Portlets etc.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Have the wireframe and images approved by the Department &amp; Web Development Cell(WDC).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Finalise the content of the department in the ePrastuti Standard Templates and get it approved from the department.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The SWF development domains to be obtained and informed to WDC so that the development area can be provided to the development team.</w:t>
            </w:r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 xml:space="preserve">Request for user credentials in the development server to be sent to </w:t>
            </w:r>
            <w:hyperlink r:id="rId8" w:history="1">
              <w:r w:rsidRPr="00BC7835">
                <w:rPr>
                  <w:rStyle w:val="Hyperlink"/>
                  <w:rFonts w:ascii="Cambria" w:hAnsi="Cambria"/>
                  <w:sz w:val="24"/>
                  <w:szCs w:val="24"/>
                </w:rPr>
                <w:t>wdc.assam@gov.in</w:t>
              </w:r>
            </w:hyperlink>
          </w:p>
          <w:p w:rsidR="00497D81" w:rsidRDefault="00497D81" w:rsidP="00497D81">
            <w:pPr>
              <w:rPr>
                <w:rFonts w:ascii="Cambria" w:hAnsi="Cambria"/>
                <w:sz w:val="24"/>
                <w:szCs w:val="24"/>
              </w:rPr>
            </w:pPr>
          </w:p>
          <w:p w:rsidR="00497D81" w:rsidRPr="00BC7835" w:rsidRDefault="00497D81" w:rsidP="00BC783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BC7835">
              <w:rPr>
                <w:rFonts w:ascii="Cambria" w:hAnsi="Cambria"/>
                <w:sz w:val="24"/>
                <w:szCs w:val="24"/>
              </w:rPr>
              <w:t>Have the approved content populated in the staging website</w:t>
            </w:r>
            <w:bookmarkStart w:id="0" w:name="_GoBack"/>
            <w:bookmarkEnd w:id="0"/>
            <w:r w:rsidRPr="00BC7835">
              <w:rPr>
                <w:rFonts w:ascii="Cambria" w:hAnsi="Cambria"/>
                <w:sz w:val="24"/>
                <w:szCs w:val="24"/>
              </w:rPr>
              <w:t>.</w:t>
            </w:r>
          </w:p>
          <w:p w:rsidR="00497D81" w:rsidRPr="007A5F47" w:rsidRDefault="00497D81" w:rsidP="00497D81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D81" w:rsidRPr="007A5F47" w:rsidTr="00E1538C">
        <w:tc>
          <w:tcPr>
            <w:tcW w:w="1101" w:type="dxa"/>
          </w:tcPr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7D2D" w:rsidRDefault="000F7D2D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669" w:rsidRDefault="00963669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669" w:rsidRPr="007A5F47" w:rsidRDefault="00963669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 w:rsidRPr="007A5F47">
              <w:rPr>
                <w:rFonts w:asciiTheme="majorHAnsi" w:hAnsiTheme="majorHAnsi"/>
                <w:sz w:val="24"/>
                <w:szCs w:val="24"/>
              </w:rPr>
              <w:t xml:space="preserve">Stage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7A5F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669" w:rsidRDefault="00963669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669" w:rsidRDefault="00963669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7D2D" w:rsidRPr="007A5F47" w:rsidRDefault="000F7D2D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 xml:space="preserve">Completion of </w:t>
            </w:r>
            <w:r w:rsidR="00F94140">
              <w:rPr>
                <w:rFonts w:asciiTheme="majorHAnsi" w:hAnsiTheme="majorHAnsi"/>
                <w:sz w:val="24"/>
                <w:szCs w:val="24"/>
              </w:rPr>
              <w:t>populating the website with the content.</w:t>
            </w:r>
          </w:p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>All Services being offered by the department need to be provided, irrespective of whether or not online systems are available</w:t>
            </w:r>
            <w:r w:rsidR="00F9414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>Information Service</w:t>
            </w:r>
            <w:r w:rsidR="00F94140">
              <w:rPr>
                <w:rFonts w:asciiTheme="majorHAnsi" w:hAnsiTheme="majorHAnsi"/>
                <w:sz w:val="24"/>
                <w:szCs w:val="24"/>
              </w:rPr>
              <w:t>s as per the Standard templates.</w:t>
            </w:r>
          </w:p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 xml:space="preserve">Main Sliders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to be made </w:t>
            </w:r>
            <w:r w:rsidRPr="00381F29">
              <w:rPr>
                <w:rFonts w:asciiTheme="majorHAnsi" w:hAnsiTheme="majorHAnsi"/>
                <w:sz w:val="24"/>
                <w:szCs w:val="24"/>
              </w:rPr>
              <w:t>as per the guidelines</w:t>
            </w:r>
            <w:r w:rsidR="00F9414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381F29">
              <w:rPr>
                <w:rFonts w:asciiTheme="majorHAnsi" w:hAnsiTheme="majorHAnsi"/>
                <w:sz w:val="24"/>
                <w:szCs w:val="24"/>
              </w:rPr>
              <w:t xml:space="preserve">ocument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scanning </w:t>
            </w:r>
            <w:r w:rsidRPr="00381F29">
              <w:rPr>
                <w:rFonts w:asciiTheme="majorHAnsi" w:hAnsiTheme="majorHAnsi"/>
                <w:sz w:val="24"/>
                <w:szCs w:val="24"/>
              </w:rPr>
              <w:t xml:space="preserve">and image guidelines </w:t>
            </w:r>
            <w:r>
              <w:rPr>
                <w:rFonts w:asciiTheme="majorHAnsi" w:hAnsiTheme="majorHAnsi"/>
                <w:sz w:val="24"/>
                <w:szCs w:val="24"/>
              </w:rPr>
              <w:t>to be</w:t>
            </w:r>
            <w:r w:rsidR="00F94140">
              <w:rPr>
                <w:rFonts w:asciiTheme="majorHAnsi" w:hAnsiTheme="majorHAnsi"/>
                <w:sz w:val="24"/>
                <w:szCs w:val="24"/>
              </w:rPr>
              <w:t xml:space="preserve"> followed.</w:t>
            </w: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Default="00497D81" w:rsidP="00497D8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Mandatory content to be uploaded on the website:</w:t>
            </w:r>
          </w:p>
          <w:p w:rsidR="00497D81" w:rsidRPr="00381F29" w:rsidRDefault="00497D81" w:rsidP="00E153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>Standard Content as defined in SWF</w:t>
            </w:r>
          </w:p>
          <w:p w:rsidR="00497D81" w:rsidRPr="007A5F47" w:rsidRDefault="00497D81" w:rsidP="00E1538C">
            <w:pPr>
              <w:pStyle w:val="ListParagraph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>Standard Right Navigation Menu and its links</w:t>
            </w:r>
          </w:p>
          <w:p w:rsidR="00497D81" w:rsidRDefault="00497D81" w:rsidP="00E153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>Website Information Manager details</w:t>
            </w:r>
          </w:p>
          <w:p w:rsidR="00497D81" w:rsidRDefault="00497D81" w:rsidP="00E1538C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381F29" w:rsidRDefault="00497D81" w:rsidP="00497D81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381F29">
              <w:rPr>
                <w:rFonts w:asciiTheme="majorHAnsi" w:hAnsiTheme="majorHAnsi"/>
                <w:sz w:val="24"/>
                <w:szCs w:val="24"/>
              </w:rPr>
              <w:t>Website Governance</w:t>
            </w:r>
          </w:p>
          <w:p w:rsidR="00497D81" w:rsidRDefault="00497D81" w:rsidP="00E1538C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0F7D2D" w:rsidRDefault="00497D81" w:rsidP="000F7D2D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Content M</w:t>
            </w:r>
            <w:r w:rsidRPr="00381F29">
              <w:rPr>
                <w:rFonts w:asciiTheme="majorHAnsi" w:hAnsiTheme="majorHAnsi"/>
                <w:sz w:val="24"/>
                <w:szCs w:val="24"/>
              </w:rPr>
              <w:t xml:space="preserve">anagement 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381F29">
              <w:rPr>
                <w:rFonts w:asciiTheme="majorHAnsi" w:hAnsiTheme="majorHAnsi"/>
                <w:sz w:val="24"/>
                <w:szCs w:val="24"/>
              </w:rPr>
              <w:t>esponsibility Matrix</w:t>
            </w:r>
          </w:p>
          <w:p w:rsidR="000F7D2D" w:rsidRPr="000F7D2D" w:rsidRDefault="000F7D2D" w:rsidP="000F7D2D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0F7D2D" w:rsidRPr="00963669" w:rsidRDefault="000F7D2D" w:rsidP="000F7D2D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0F7D2D">
              <w:rPr>
                <w:rFonts w:ascii="Cambria" w:hAnsi="Cambria"/>
                <w:sz w:val="24"/>
                <w:szCs w:val="24"/>
              </w:rPr>
              <w:t>Training plan to be prepared for training the Department Content Managers for content upload.</w:t>
            </w:r>
          </w:p>
          <w:p w:rsidR="00963669" w:rsidRPr="00963669" w:rsidRDefault="00963669" w:rsidP="0096366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963669" w:rsidRPr="001179F6" w:rsidRDefault="00963669" w:rsidP="0096366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Quality assurance of the Website content.</w:t>
            </w:r>
          </w:p>
          <w:p w:rsidR="00963669" w:rsidRPr="00963669" w:rsidRDefault="00963669" w:rsidP="0096366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 off from WDC</w:t>
            </w:r>
          </w:p>
          <w:p w:rsidR="000F7D2D" w:rsidRPr="007A5F47" w:rsidRDefault="000F7D2D" w:rsidP="000F7D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D81" w:rsidRPr="007A5F47" w:rsidTr="00E1538C">
        <w:tc>
          <w:tcPr>
            <w:tcW w:w="9464" w:type="dxa"/>
            <w:gridSpan w:val="2"/>
            <w:tcBorders>
              <w:bottom w:val="single" w:sz="4" w:space="0" w:color="000000" w:themeColor="text1"/>
            </w:tcBorders>
          </w:tcPr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 w:rsidRPr="007A5F47">
              <w:rPr>
                <w:rFonts w:asciiTheme="majorHAnsi" w:hAnsiTheme="majorHAnsi"/>
                <w:sz w:val="24"/>
                <w:szCs w:val="24"/>
              </w:rPr>
              <w:lastRenderedPageBreak/>
              <w:t>Get the User Acceptance and testing from the user department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the completion of Stage 1 in English Content  (Standard template)</w:t>
            </w:r>
          </w:p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D81" w:rsidRPr="007A5F47" w:rsidTr="00E1538C">
        <w:tc>
          <w:tcPr>
            <w:tcW w:w="1101" w:type="dxa"/>
            <w:shd w:val="clear" w:color="auto" w:fill="EEECE1" w:themeFill="background2"/>
          </w:tcPr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Stage 3</w:t>
            </w: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content completed in English to be converted to bi-lingual/Multi-lingual including the Sliders /Portlets/Images in the Sliders and Portlets</w:t>
            </w:r>
          </w:p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D81" w:rsidRPr="007A5F47" w:rsidTr="00E1538C">
        <w:tc>
          <w:tcPr>
            <w:tcW w:w="9464" w:type="dxa"/>
            <w:gridSpan w:val="2"/>
          </w:tcPr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 w:rsidRPr="007A5F47">
              <w:rPr>
                <w:rFonts w:asciiTheme="majorHAnsi" w:hAnsiTheme="majorHAnsi"/>
                <w:sz w:val="24"/>
                <w:szCs w:val="24"/>
              </w:rPr>
              <w:t>Get the User Acceptance and testing from the user department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the completion of Stage 2 in bi-lingual/Multi-lingual (Standard template)</w:t>
            </w:r>
          </w:p>
          <w:p w:rsidR="000F7D2D" w:rsidRPr="007A5F47" w:rsidRDefault="000F7D2D" w:rsidP="00E1538C">
            <w:pPr>
              <w:rPr>
                <w:rFonts w:asciiTheme="majorHAnsi" w:hAnsiTheme="majorHAnsi"/>
                <w:sz w:val="24"/>
                <w:szCs w:val="24"/>
              </w:rPr>
            </w:pPr>
            <w:r w:rsidRPr="0078447F">
              <w:rPr>
                <w:rFonts w:ascii="Cambria" w:hAnsi="Cambria"/>
                <w:sz w:val="24"/>
                <w:szCs w:val="24"/>
              </w:rPr>
              <w:t>Production deployment and final testing.</w:t>
            </w:r>
          </w:p>
        </w:tc>
      </w:tr>
      <w:tr w:rsidR="00497D81" w:rsidRPr="007A5F47" w:rsidTr="00E1538C">
        <w:tc>
          <w:tcPr>
            <w:tcW w:w="1101" w:type="dxa"/>
          </w:tcPr>
          <w:p w:rsidR="00464497" w:rsidRDefault="00464497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Stage 4</w:t>
            </w:r>
          </w:p>
          <w:p w:rsidR="00497D81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7A5F47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(Exit Management)</w:t>
            </w:r>
          </w:p>
        </w:tc>
        <w:tc>
          <w:tcPr>
            <w:tcW w:w="8363" w:type="dxa"/>
          </w:tcPr>
          <w:p w:rsidR="00963669" w:rsidRDefault="00963669" w:rsidP="0096366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9E2085" w:rsidRDefault="00497D81" w:rsidP="00497D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E2085">
              <w:rPr>
                <w:rFonts w:asciiTheme="majorHAnsi" w:hAnsiTheme="majorHAnsi"/>
                <w:sz w:val="24"/>
                <w:szCs w:val="24"/>
              </w:rPr>
              <w:t>Create accounts in the staging domain for all the identified content managers</w:t>
            </w:r>
            <w:r w:rsidR="00F9414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7D81" w:rsidRPr="009E2085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9E2085" w:rsidRDefault="00F94140" w:rsidP="00497D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account for the w</w:t>
            </w:r>
            <w:r w:rsidR="00497D81" w:rsidRPr="009E2085">
              <w:rPr>
                <w:rFonts w:asciiTheme="majorHAnsi" w:hAnsiTheme="majorHAnsi"/>
                <w:sz w:val="24"/>
                <w:szCs w:val="24"/>
              </w:rPr>
              <w:t xml:space="preserve">ebsite administrator and train </w:t>
            </w:r>
            <w:r>
              <w:rPr>
                <w:rFonts w:asciiTheme="majorHAnsi" w:hAnsiTheme="majorHAnsi"/>
                <w:sz w:val="24"/>
                <w:szCs w:val="24"/>
              </w:rPr>
              <w:t>them as per the skill sets required.</w:t>
            </w:r>
          </w:p>
          <w:p w:rsidR="00497D81" w:rsidRPr="009E2085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9E2085" w:rsidRDefault="00497D81" w:rsidP="00497D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E2085">
              <w:rPr>
                <w:rFonts w:asciiTheme="majorHAnsi" w:hAnsiTheme="majorHAnsi"/>
                <w:sz w:val="24"/>
                <w:szCs w:val="24"/>
              </w:rPr>
              <w:lastRenderedPageBreak/>
              <w:t>Train the content managers using their respective account.</w:t>
            </w:r>
          </w:p>
          <w:p w:rsidR="00497D81" w:rsidRPr="009E2085" w:rsidRDefault="00497D81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9E2085" w:rsidRDefault="00497D81" w:rsidP="00497D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E2085">
              <w:rPr>
                <w:rFonts w:asciiTheme="majorHAnsi" w:hAnsiTheme="majorHAnsi"/>
                <w:sz w:val="24"/>
                <w:szCs w:val="24"/>
              </w:rPr>
              <w:t>Provide the training manuals</w:t>
            </w:r>
            <w:r w:rsidR="00F9414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7D81" w:rsidRPr="009E2085" w:rsidRDefault="00497D81" w:rsidP="00E153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497D81" w:rsidRPr="009E2085" w:rsidRDefault="00497D81" w:rsidP="00497D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E2085">
              <w:rPr>
                <w:rFonts w:asciiTheme="majorHAnsi" w:hAnsiTheme="majorHAnsi"/>
                <w:bCs/>
                <w:sz w:val="23"/>
                <w:szCs w:val="23"/>
              </w:rPr>
              <w:t>Content Ownership, Moderation &amp; Approval Policy (COMAP)</w:t>
            </w:r>
          </w:p>
          <w:p w:rsidR="00497D81" w:rsidRPr="009E2085" w:rsidRDefault="00497D81" w:rsidP="00E1538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963669" w:rsidRPr="00963669" w:rsidRDefault="00497D81" w:rsidP="009636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E2085">
              <w:rPr>
                <w:rFonts w:asciiTheme="majorHAnsi" w:hAnsiTheme="majorHAnsi"/>
                <w:bCs/>
                <w:sz w:val="23"/>
                <w:szCs w:val="23"/>
              </w:rPr>
              <w:t>Content Review Policy (CRP) and Content Archival Policy</w:t>
            </w:r>
          </w:p>
          <w:p w:rsidR="00963669" w:rsidRPr="00963669" w:rsidRDefault="00963669" w:rsidP="00963669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963669" w:rsidRPr="00464497" w:rsidRDefault="00963669" w:rsidP="009636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63669">
              <w:rPr>
                <w:rFonts w:ascii="Cambria" w:hAnsi="Cambria"/>
                <w:sz w:val="24"/>
                <w:szCs w:val="24"/>
              </w:rPr>
              <w:t>Website completion entails the completion of all sites as per the work order.</w:t>
            </w:r>
          </w:p>
          <w:p w:rsidR="00464497" w:rsidRPr="00464497" w:rsidRDefault="00464497" w:rsidP="0046449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464497" w:rsidRPr="00963669" w:rsidRDefault="00464497" w:rsidP="009636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Ensure that the capability building of the department content managers to upload and manage the content.</w:t>
            </w:r>
          </w:p>
          <w:p w:rsidR="00963669" w:rsidRPr="00963669" w:rsidRDefault="00963669" w:rsidP="00963669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963669" w:rsidRPr="00963669" w:rsidRDefault="00963669" w:rsidP="009636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963669">
              <w:rPr>
                <w:rFonts w:ascii="Cambria" w:hAnsi="Cambria"/>
                <w:sz w:val="24"/>
                <w:szCs w:val="24"/>
              </w:rPr>
              <w:t>All clauses of the Master Service Agreement to be addressed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36E33">
              <w:rPr>
                <w:rFonts w:ascii="Cambria" w:hAnsi="Cambria"/>
                <w:sz w:val="24"/>
                <w:szCs w:val="24"/>
              </w:rPr>
              <w:t xml:space="preserve">and </w:t>
            </w:r>
            <w:r>
              <w:rPr>
                <w:rFonts w:ascii="Cambria" w:hAnsi="Cambria"/>
                <w:sz w:val="24"/>
                <w:szCs w:val="24"/>
              </w:rPr>
              <w:t>activities to be completed as per the Project Schedule of the RFQ.</w:t>
            </w:r>
          </w:p>
          <w:p w:rsidR="00963669" w:rsidRPr="007A5F47" w:rsidRDefault="00963669" w:rsidP="00336E3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4497" w:rsidRPr="007A5F47" w:rsidTr="00E1538C">
        <w:tc>
          <w:tcPr>
            <w:tcW w:w="1101" w:type="dxa"/>
          </w:tcPr>
          <w:p w:rsidR="00464497" w:rsidRDefault="00464497" w:rsidP="00E153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464497" w:rsidRPr="007A5F47" w:rsidRDefault="00464497" w:rsidP="00E15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 Sign–off from the department with certficate of completion of Stage 1,2,3 and 4.</w:t>
            </w:r>
          </w:p>
        </w:tc>
      </w:tr>
    </w:tbl>
    <w:p w:rsidR="00497D81" w:rsidRDefault="00497D81" w:rsidP="0059755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336E33" w:rsidRDefault="00597550" w:rsidP="00597550">
      <w:pPr>
        <w:spacing w:after="0" w:line="240" w:lineRule="auto"/>
        <w:ind w:left="1440" w:firstLine="720"/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</w:pPr>
      <w:r w:rsidRPr="000347E7"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  <w:t xml:space="preserve">   </w:t>
      </w:r>
      <w:r w:rsidR="000F7D2D"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  <w:t xml:space="preserve">      </w:t>
      </w:r>
    </w:p>
    <w:p w:rsidR="00F94140" w:rsidRDefault="00F94140">
      <w:pPr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</w:pPr>
      <w:r>
        <w:rPr>
          <w:rFonts w:ascii="Cambria" w:hAnsi="Cambria"/>
          <w:b/>
          <w:bCs/>
          <w:color w:val="4F81BD" w:themeColor="accent1"/>
          <w:sz w:val="28"/>
          <w:szCs w:val="28"/>
          <w:lang w:val="en-US"/>
        </w:rPr>
        <w:br w:type="page"/>
      </w:r>
    </w:p>
    <w:p w:rsidR="00EC6A60" w:rsidRDefault="00EC6A60" w:rsidP="00A53402">
      <w:pPr>
        <w:pStyle w:val="ListParagraph"/>
        <w:rPr>
          <w:rFonts w:ascii="Cambria" w:hAnsi="Cambria"/>
          <w:sz w:val="24"/>
          <w:szCs w:val="24"/>
        </w:rPr>
      </w:pPr>
    </w:p>
    <w:p w:rsidR="004640FE" w:rsidRPr="00A53402" w:rsidRDefault="00A53402" w:rsidP="00A53402">
      <w:pPr>
        <w:pStyle w:val="ListParagraph"/>
        <w:ind w:left="2880" w:firstLine="720"/>
        <w:rPr>
          <w:rFonts w:ascii="Cambria" w:hAnsi="Cambria"/>
          <w:b/>
          <w:sz w:val="24"/>
          <w:szCs w:val="24"/>
        </w:rPr>
      </w:pPr>
      <w:r w:rsidRPr="00A53402">
        <w:rPr>
          <w:rFonts w:ascii="Cambria" w:hAnsi="Cambria"/>
          <w:b/>
          <w:sz w:val="24"/>
          <w:szCs w:val="24"/>
        </w:rPr>
        <w:t xml:space="preserve">Annexure 1 </w:t>
      </w:r>
    </w:p>
    <w:tbl>
      <w:tblPr>
        <w:tblW w:w="8647" w:type="dxa"/>
        <w:tblInd w:w="2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/>
      </w:tblPr>
      <w:tblGrid>
        <w:gridCol w:w="1701"/>
        <w:gridCol w:w="5954"/>
        <w:gridCol w:w="992"/>
      </w:tblGrid>
      <w:tr w:rsidR="004640FE" w:rsidTr="000C2556">
        <w:trPr>
          <w:trHeight w:val="933"/>
        </w:trPr>
        <w:tc>
          <w:tcPr>
            <w:tcW w:w="8647" w:type="dxa"/>
            <w:gridSpan w:val="3"/>
            <w:tcBorders>
              <w:bottom w:val="single" w:sz="24" w:space="0" w:color="000000"/>
            </w:tcBorders>
            <w:shd w:val="clear" w:color="auto" w:fill="17365D"/>
          </w:tcPr>
          <w:p w:rsidR="004640FE" w:rsidRPr="00CC2DE4" w:rsidRDefault="004640FE" w:rsidP="000C2556">
            <w:pPr>
              <w:rPr>
                <w:rFonts w:ascii="Tahoma" w:eastAsia="+mn-ea" w:hAnsi="Wingdings" w:cs="+mn-cs"/>
                <w:color w:val="558ED5"/>
                <w:kern w:val="24"/>
                <w:sz w:val="108"/>
                <w:szCs w:val="108"/>
              </w:rPr>
            </w:pPr>
            <w:r w:rsidRPr="00D06EF8">
              <w:rPr>
                <w:rFonts w:ascii="Tahoma" w:eastAsia="+mn-ea" w:hAnsi="Wingdings" w:cs="+mn-cs"/>
                <w:color w:val="558ED5"/>
                <w:kern w:val="24"/>
                <w:sz w:val="52"/>
                <w:szCs w:val="52"/>
              </w:rPr>
              <w:sym w:font="Wingdings" w:char="00FE"/>
            </w:r>
            <w:r w:rsidRPr="00D06EF8">
              <w:rPr>
                <w:rFonts w:ascii="Cambria" w:hAnsi="Cambria" w:cs="Tahoma"/>
                <w:b/>
                <w:sz w:val="52"/>
                <w:szCs w:val="52"/>
              </w:rPr>
              <w:t xml:space="preserve"> </w:t>
            </w:r>
            <w:r w:rsidRPr="00D06EF8">
              <w:rPr>
                <w:rFonts w:ascii="Cambria" w:hAnsi="Cambria" w:cs="Tahoma"/>
                <w:b/>
                <w:sz w:val="24"/>
                <w:szCs w:val="24"/>
              </w:rPr>
              <w:t>SUMMARY OF CHECKPOINTS FOR CONTENT MANAGERS WORKSHOP</w:t>
            </w:r>
          </w:p>
        </w:tc>
      </w:tr>
      <w:tr w:rsidR="004640FE" w:rsidTr="000C2556">
        <w:trPr>
          <w:trHeight w:val="856"/>
        </w:trPr>
        <w:tc>
          <w:tcPr>
            <w:tcW w:w="1701" w:type="dxa"/>
            <w:shd w:val="clear" w:color="auto" w:fill="FFC000"/>
          </w:tcPr>
          <w:p w:rsidR="004640FE" w:rsidRPr="00D06EF8" w:rsidRDefault="004640FE" w:rsidP="000C2556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06EF8">
              <w:rPr>
                <w:rFonts w:ascii="Bookman Old Style" w:hAnsi="Bookman Old Style"/>
                <w:b/>
              </w:rPr>
              <w:t>Area</w:t>
            </w:r>
          </w:p>
        </w:tc>
        <w:tc>
          <w:tcPr>
            <w:tcW w:w="5954" w:type="dxa"/>
            <w:shd w:val="clear" w:color="auto" w:fill="FFC000"/>
          </w:tcPr>
          <w:p w:rsidR="004640FE" w:rsidRDefault="004640FE" w:rsidP="000C2556">
            <w:pPr>
              <w:pStyle w:val="ListParagraph"/>
              <w:ind w:left="317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</w:rPr>
              <w:t xml:space="preserve">        </w:t>
            </w:r>
            <w:r w:rsidRPr="00D06EF8">
              <w:rPr>
                <w:rFonts w:ascii="Bookman Old Style" w:hAnsi="Bookman Old Style"/>
                <w:b/>
              </w:rPr>
              <w:t>Description of activity</w:t>
            </w:r>
            <w:r w:rsidRPr="00D06EF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4640FE" w:rsidRDefault="004640FE" w:rsidP="000C2556">
            <w:pPr>
              <w:pStyle w:val="ListParagraph"/>
              <w:ind w:left="317"/>
              <w:rPr>
                <w:rFonts w:ascii="Cambria" w:hAnsi="Cambria"/>
                <w:b/>
                <w:sz w:val="20"/>
                <w:szCs w:val="20"/>
              </w:rPr>
            </w:pPr>
          </w:p>
          <w:p w:rsidR="004640FE" w:rsidRPr="00D06EF8" w:rsidRDefault="004640FE" w:rsidP="000C2556">
            <w:pPr>
              <w:pStyle w:val="ListParagraph"/>
              <w:ind w:left="317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(Department is responsible for all activities mentioned)</w:t>
            </w:r>
          </w:p>
        </w:tc>
        <w:tc>
          <w:tcPr>
            <w:tcW w:w="992" w:type="dxa"/>
            <w:shd w:val="clear" w:color="auto" w:fill="FFC000"/>
          </w:tcPr>
          <w:p w:rsidR="004640FE" w:rsidRDefault="00C376EE" w:rsidP="000C25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376EE">
              <w:rPr>
                <w:rFonts w:asciiTheme="majorHAnsi" w:hAnsiTheme="majorHAnsi" w:cs="Calibri"/>
                <w:noProof/>
                <w:sz w:val="24"/>
                <w:szCs w:val="24"/>
                <w:lang w:eastAsia="en-IN"/>
              </w:rPr>
              <w:pict>
                <v:rect id="_x0000_s1033" style="position:absolute;margin-left:22.95pt;margin-top:2.1pt;width:18pt;height:13.5pt;z-index:251667456;mso-position-horizontal-relative:text;mso-position-vertical-relative:text" fillcolor="#00b050" strokecolor="#00b050"/>
              </w:pict>
            </w:r>
            <w:r w:rsidR="004640FE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:rsidR="004640FE" w:rsidRPr="00D06EF8" w:rsidRDefault="00C376EE" w:rsidP="000C25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376EE">
              <w:rPr>
                <w:rFonts w:asciiTheme="majorHAnsi" w:hAnsiTheme="majorHAnsi" w:cs="Calibri"/>
                <w:noProof/>
                <w:sz w:val="24"/>
                <w:szCs w:val="24"/>
                <w:lang w:eastAsia="en-IN"/>
              </w:rPr>
              <w:pict>
                <v:rect id="_x0000_s1032" style="position:absolute;margin-left:22.95pt;margin-top:.4pt;width:18pt;height:13.5pt;z-index:251666432" fillcolor="red" strokecolor="red"/>
              </w:pict>
            </w:r>
            <w:r w:rsidR="004640FE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</w:tc>
      </w:tr>
      <w:tr w:rsidR="004640FE" w:rsidTr="000C2556">
        <w:trPr>
          <w:trHeight w:val="1533"/>
        </w:trPr>
        <w:tc>
          <w:tcPr>
            <w:tcW w:w="1701" w:type="dxa"/>
            <w:shd w:val="clear" w:color="auto" w:fill="C0504D" w:themeFill="accent2"/>
          </w:tcPr>
          <w:p w:rsidR="004640FE" w:rsidRPr="00CC2DE4" w:rsidRDefault="004640FE" w:rsidP="000C2556">
            <w:pPr>
              <w:spacing w:after="0" w:line="240" w:lineRule="auto"/>
              <w:rPr>
                <w:rFonts w:ascii="Tahoma" w:eastAsia="+mn-ea" w:hAnsi="Wingdings" w:cs="+mn-cs"/>
                <w:color w:val="558ED5"/>
                <w:kern w:val="24"/>
                <w:sz w:val="108"/>
                <w:szCs w:val="108"/>
              </w:rPr>
            </w:pPr>
            <w:r>
              <w:rPr>
                <w:rFonts w:ascii="Bookman Old Style" w:hAnsi="Bookman Old Style"/>
                <w:b/>
                <w:color w:val="EEECE1" w:themeColor="background2"/>
              </w:rPr>
              <w:t xml:space="preserve">Have you completed all the pre-requsites 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4640FE" w:rsidRPr="00A53402" w:rsidRDefault="004640FE" w:rsidP="00A53402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Bookman Old Style" w:hAnsi="Bookman Old Style"/>
                <w:color w:val="002060"/>
              </w:rPr>
            </w:pPr>
            <w:r w:rsidRPr="00911D79">
              <w:rPr>
                <w:rFonts w:ascii="Cambria" w:hAnsi="Cambria"/>
                <w:sz w:val="20"/>
                <w:szCs w:val="20"/>
              </w:rPr>
              <w:t>Have the Project Steering Committee and Support Structures as per the ePrastuti Governance Structure Guidelines</w:t>
            </w:r>
            <w:r w:rsidRPr="00911D79">
              <w:rPr>
                <w:rStyle w:val="FootnoteReference"/>
                <w:rFonts w:ascii="Cambria" w:hAnsi="Cambria"/>
                <w:sz w:val="20"/>
                <w:szCs w:val="20"/>
              </w:rPr>
              <w:t xml:space="preserve"> </w:t>
            </w:r>
            <w:r w:rsidRPr="00911D79">
              <w:rPr>
                <w:rFonts w:ascii="Cambria" w:hAnsi="Cambria"/>
                <w:sz w:val="20"/>
                <w:szCs w:val="20"/>
              </w:rPr>
              <w:t xml:space="preserve">been notified and copy sent to WDC ( wdc.assam@gov.in) </w:t>
            </w:r>
          </w:p>
          <w:p w:rsidR="004640FE" w:rsidRPr="00911D79" w:rsidRDefault="004640FE" w:rsidP="004640FE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Bookman Old Style" w:hAnsi="Bookman Old Style"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Have the Content Managers been informed about the workshop ( Workshop is to be attended by all Content Mangers)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640FE" w:rsidRDefault="00C376EE" w:rsidP="000C2556">
            <w:pPr>
              <w:ind w:left="360"/>
              <w:rPr>
                <w:b/>
                <w:color w:val="1F497D"/>
                <w:sz w:val="20"/>
                <w:szCs w:val="20"/>
              </w:rPr>
            </w:pPr>
            <w:r w:rsidRPr="00C376EE">
              <w:rPr>
                <w:b/>
                <w:noProof/>
                <w:color w:val="1F497D"/>
                <w:sz w:val="20"/>
                <w:szCs w:val="20"/>
                <w:lang w:eastAsia="en-IN"/>
              </w:rPr>
              <w:pict>
                <v:rect id="_x0000_s1028" style="position:absolute;left:0;text-align:left;margin-left:11.6pt;margin-top:6.4pt;width:18pt;height:13.5pt;z-index:251662336;mso-position-horizontal-relative:text;mso-position-vertical-relative:text" fillcolor="#8db3e2 [1311]" strokecolor="#1f497d [3215]"/>
              </w:pict>
            </w:r>
          </w:p>
          <w:p w:rsidR="004640FE" w:rsidRDefault="00C376EE" w:rsidP="000C2556">
            <w:pPr>
              <w:rPr>
                <w:rFonts w:ascii="Bookman Old Style" w:hAnsi="Bookman Old Style"/>
                <w:color w:val="002060"/>
              </w:rPr>
            </w:pPr>
            <w:r w:rsidRPr="00C376EE">
              <w:rPr>
                <w:b/>
                <w:noProof/>
                <w:color w:val="1F497D"/>
                <w:sz w:val="20"/>
                <w:szCs w:val="20"/>
                <w:lang w:eastAsia="en-IN"/>
              </w:rPr>
              <w:pict>
                <v:rect id="_x0000_s1035" style="position:absolute;margin-left:11.6pt;margin-top:34.85pt;width:18pt;height:13.5pt;z-index:251669504" fillcolor="#8db3e2 [1311]" strokecolor="#1f497d [3215]"/>
              </w:pict>
            </w:r>
          </w:p>
        </w:tc>
      </w:tr>
      <w:tr w:rsidR="004640FE" w:rsidTr="000C2556">
        <w:trPr>
          <w:trHeight w:val="1195"/>
        </w:trPr>
        <w:tc>
          <w:tcPr>
            <w:tcW w:w="1701" w:type="dxa"/>
            <w:shd w:val="clear" w:color="auto" w:fill="548DD4" w:themeFill="text2" w:themeFillTint="99"/>
          </w:tcPr>
          <w:p w:rsidR="004640FE" w:rsidRPr="00762727" w:rsidRDefault="004640FE" w:rsidP="000C2556">
            <w:pPr>
              <w:rPr>
                <w:rFonts w:ascii="Bookman Old Style" w:hAnsi="Bookman Old Style"/>
                <w:b/>
                <w:color w:val="002060"/>
              </w:rPr>
            </w:pPr>
            <w:r>
              <w:rPr>
                <w:rFonts w:ascii="Bookman Old Style" w:hAnsi="Bookman Old Style"/>
                <w:b/>
                <w:color w:val="002060"/>
              </w:rPr>
              <w:t>Workshop Logistics</w:t>
            </w:r>
          </w:p>
          <w:p w:rsidR="004640FE" w:rsidRDefault="004640FE" w:rsidP="000C2556">
            <w:pPr>
              <w:spacing w:after="0" w:line="240" w:lineRule="auto"/>
              <w:ind w:firstLine="360"/>
              <w:rPr>
                <w:rFonts w:ascii="Bookman Old Style" w:hAnsi="Bookman Old Style"/>
                <w:b/>
                <w:color w:val="EEECE1" w:themeColor="background2"/>
              </w:rPr>
            </w:pPr>
          </w:p>
        </w:tc>
        <w:tc>
          <w:tcPr>
            <w:tcW w:w="5954" w:type="dxa"/>
            <w:shd w:val="clear" w:color="auto" w:fill="C6D9F1" w:themeFill="text2" w:themeFillTint="33"/>
          </w:tcPr>
          <w:p w:rsidR="004640FE" w:rsidRPr="00911D79" w:rsidRDefault="004640FE" w:rsidP="000C2556">
            <w:pPr>
              <w:rPr>
                <w:rFonts w:ascii="Cambria" w:hAnsi="Cambria"/>
                <w:sz w:val="20"/>
                <w:szCs w:val="20"/>
              </w:rPr>
            </w:pPr>
            <w:r w:rsidRPr="00911D79">
              <w:rPr>
                <w:rFonts w:ascii="Cambria" w:hAnsi="Cambria"/>
                <w:sz w:val="20"/>
                <w:szCs w:val="20"/>
              </w:rPr>
              <w:t xml:space="preserve">Have the necessary logistics been arranged </w:t>
            </w:r>
            <w:r>
              <w:rPr>
                <w:rFonts w:ascii="Cambria" w:hAnsi="Cambria"/>
                <w:sz w:val="20"/>
                <w:szCs w:val="20"/>
              </w:rPr>
              <w:t>for conducting the workshop</w:t>
            </w:r>
          </w:p>
          <w:p w:rsidR="004640FE" w:rsidRDefault="004640FE" w:rsidP="004640F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911D79">
              <w:rPr>
                <w:rFonts w:ascii="Cambria" w:hAnsi="Cambria"/>
                <w:sz w:val="20"/>
                <w:szCs w:val="20"/>
              </w:rPr>
              <w:t>Projector</w:t>
            </w:r>
          </w:p>
          <w:p w:rsidR="004640FE" w:rsidRDefault="004640FE" w:rsidP="004640F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911D79">
              <w:rPr>
                <w:rFonts w:ascii="Cambria" w:hAnsi="Cambria"/>
                <w:sz w:val="20"/>
                <w:szCs w:val="20"/>
              </w:rPr>
              <w:t>Laptop</w:t>
            </w:r>
          </w:p>
          <w:p w:rsidR="004640FE" w:rsidRDefault="00A53402" w:rsidP="004640FE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="004640FE" w:rsidRPr="00911D79">
              <w:rPr>
                <w:rFonts w:ascii="Cambria" w:hAnsi="Cambria"/>
                <w:sz w:val="20"/>
                <w:szCs w:val="20"/>
              </w:rPr>
              <w:t>et connectivity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640FE" w:rsidRDefault="00C376EE" w:rsidP="000C2556">
            <w:pPr>
              <w:rPr>
                <w:rFonts w:ascii="Bookman Old Style" w:hAnsi="Bookman Old Style"/>
                <w:color w:val="002060"/>
              </w:rPr>
            </w:pPr>
            <w:r w:rsidRPr="00C376EE">
              <w:rPr>
                <w:rFonts w:ascii="Bookman Old Style" w:hAnsi="Bookman Old Style"/>
                <w:noProof/>
                <w:color w:val="002060"/>
                <w:lang w:eastAsia="en-IN"/>
              </w:rPr>
              <w:pict>
                <v:rect id="_x0000_s1034" style="position:absolute;margin-left:4.95pt;margin-top:27.9pt;width:18pt;height:13.5pt;z-index:251668480;mso-position-horizontal-relative:text;mso-position-vertical-relative:text" fillcolor="#8db3e2 [1311]" strokecolor="#1f497d [3215]"/>
              </w:pict>
            </w:r>
          </w:p>
        </w:tc>
      </w:tr>
      <w:tr w:rsidR="004640FE" w:rsidTr="000C2556">
        <w:trPr>
          <w:trHeight w:val="1195"/>
        </w:trPr>
        <w:tc>
          <w:tcPr>
            <w:tcW w:w="1701" w:type="dxa"/>
            <w:shd w:val="clear" w:color="auto" w:fill="76923C" w:themeFill="accent3" w:themeFillShade="BF"/>
          </w:tcPr>
          <w:p w:rsidR="004640FE" w:rsidRPr="00762727" w:rsidRDefault="004640FE" w:rsidP="000C2556">
            <w:pPr>
              <w:rPr>
                <w:rFonts w:ascii="Bookman Old Style" w:hAnsi="Bookman Old Style"/>
                <w:b/>
                <w:color w:val="002060"/>
              </w:rPr>
            </w:pPr>
            <w:r>
              <w:rPr>
                <w:rFonts w:ascii="Bookman Old Style" w:hAnsi="Bookman Old Style"/>
                <w:b/>
                <w:color w:val="002060"/>
              </w:rPr>
              <w:t>Material for distribution</w:t>
            </w:r>
            <w:r w:rsidRPr="00F706CA">
              <w:rPr>
                <w:rFonts w:ascii="Bookman Old Style" w:hAnsi="Bookman Old Style"/>
                <w:b/>
                <w:color w:val="002060"/>
              </w:rPr>
              <w:t xml:space="preserve"> 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4640FE" w:rsidRDefault="004640FE" w:rsidP="004640F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the copies of Toolkit 1-</w:t>
            </w:r>
            <w:r w:rsidR="00A53402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 xml:space="preserve"> been made ready for distribution during the workshop </w:t>
            </w:r>
          </w:p>
          <w:p w:rsidR="004640FE" w:rsidRPr="00DA08C0" w:rsidRDefault="004640FE" w:rsidP="004640F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A4 size sheets for the workshop activity </w:t>
            </w:r>
          </w:p>
          <w:p w:rsidR="004640FE" w:rsidRPr="00396519" w:rsidRDefault="004640FE" w:rsidP="000C2556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640FE" w:rsidRDefault="00C376EE" w:rsidP="000C2556">
            <w:pPr>
              <w:ind w:left="360"/>
              <w:rPr>
                <w:rFonts w:ascii="Bookman Old Style" w:hAnsi="Bookman Old Style"/>
                <w:color w:val="002060"/>
              </w:rPr>
            </w:pPr>
            <w:r w:rsidRPr="00C376EE">
              <w:rPr>
                <w:rFonts w:ascii="Bookman Old Style" w:hAnsi="Bookman Old Style"/>
                <w:noProof/>
                <w:color w:val="002060"/>
                <w:lang w:eastAsia="en-IN"/>
              </w:rPr>
              <w:pict>
                <v:rect id="_x0000_s1031" style="position:absolute;left:0;text-align:left;margin-left:5.6pt;margin-top:15.85pt;width:18pt;height:13.5pt;z-index:251665408;mso-position-horizontal-relative:text;mso-position-vertical-relative:text" fillcolor="#8db3e2 [1311]" strokecolor="#1f497d [3215]"/>
              </w:pict>
            </w:r>
          </w:p>
        </w:tc>
      </w:tr>
      <w:tr w:rsidR="004640FE" w:rsidTr="000C2556">
        <w:trPr>
          <w:trHeight w:val="1195"/>
        </w:trPr>
        <w:tc>
          <w:tcPr>
            <w:tcW w:w="1701" w:type="dxa"/>
            <w:shd w:val="clear" w:color="auto" w:fill="0070C0"/>
          </w:tcPr>
          <w:p w:rsidR="004640FE" w:rsidRPr="00620F2F" w:rsidRDefault="004640FE" w:rsidP="000C2556">
            <w:pPr>
              <w:rPr>
                <w:rFonts w:ascii="Bookman Old Style" w:eastAsia="+mn-ea" w:hAnsi="Bookman Old Style" w:cs="+mn-cs"/>
                <w:b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rFonts w:ascii="Bookman Old Style" w:eastAsia="+mn-ea" w:hAnsi="Bookman Old Style" w:cs="+mn-cs"/>
                <w:b/>
                <w:color w:val="FFFFFF" w:themeColor="background1"/>
                <w:kern w:val="24"/>
                <w:sz w:val="24"/>
                <w:szCs w:val="24"/>
              </w:rPr>
              <w:t xml:space="preserve">Workshop </w:t>
            </w:r>
          </w:p>
          <w:p w:rsidR="004640FE" w:rsidRDefault="004640FE" w:rsidP="000C2556">
            <w:pPr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5954" w:type="dxa"/>
            <w:shd w:val="clear" w:color="auto" w:fill="C6D9F1" w:themeFill="text2" w:themeFillTint="33"/>
          </w:tcPr>
          <w:p w:rsidR="004640FE" w:rsidRDefault="004640FE" w:rsidP="000C25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Workshop is to be attended by:</w:t>
            </w:r>
          </w:p>
          <w:p w:rsidR="004640FE" w:rsidRPr="0076677B" w:rsidRDefault="004640FE" w:rsidP="0046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677B">
              <w:rPr>
                <w:rFonts w:ascii="Cambria" w:hAnsi="Cambria"/>
                <w:sz w:val="20"/>
                <w:szCs w:val="20"/>
              </w:rPr>
              <w:t xml:space="preserve">Nodal Officer of the Department </w:t>
            </w:r>
          </w:p>
          <w:p w:rsidR="004640FE" w:rsidRPr="0076677B" w:rsidRDefault="004640FE" w:rsidP="0046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677B">
              <w:rPr>
                <w:rFonts w:ascii="Cambria" w:hAnsi="Cambria"/>
                <w:sz w:val="20"/>
                <w:szCs w:val="20"/>
              </w:rPr>
              <w:t>Nodal Officers of the Sub-ordinate organisations</w:t>
            </w:r>
          </w:p>
          <w:p w:rsidR="004640FE" w:rsidRDefault="004640FE" w:rsidP="0046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677B">
              <w:rPr>
                <w:rFonts w:ascii="Cambria" w:hAnsi="Cambria"/>
                <w:sz w:val="20"/>
                <w:szCs w:val="20"/>
              </w:rPr>
              <w:t>All Content Mangers (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76677B">
              <w:rPr>
                <w:rFonts w:ascii="Cambria" w:hAnsi="Cambria"/>
                <w:sz w:val="20"/>
                <w:szCs w:val="20"/>
              </w:rPr>
              <w:t xml:space="preserve">f </w:t>
            </w: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Pr="0076677B">
              <w:rPr>
                <w:rFonts w:ascii="Cambria" w:hAnsi="Cambria"/>
                <w:sz w:val="20"/>
                <w:szCs w:val="20"/>
              </w:rPr>
              <w:t xml:space="preserve">Main </w:t>
            </w:r>
            <w:r>
              <w:rPr>
                <w:rFonts w:ascii="Cambria" w:hAnsi="Cambria"/>
                <w:sz w:val="20"/>
                <w:szCs w:val="20"/>
              </w:rPr>
              <w:t xml:space="preserve">Administrative </w:t>
            </w:r>
            <w:r w:rsidRPr="0076677B">
              <w:rPr>
                <w:rFonts w:ascii="Cambria" w:hAnsi="Cambria"/>
                <w:sz w:val="20"/>
                <w:szCs w:val="20"/>
              </w:rPr>
              <w:t>department and its sub-ordinate organisations)</w:t>
            </w:r>
          </w:p>
          <w:p w:rsidR="004640FE" w:rsidRDefault="004640FE" w:rsidP="0046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WDC , SeMT and NIC Coordinators </w:t>
            </w:r>
          </w:p>
          <w:p w:rsidR="004640FE" w:rsidRPr="00450A54" w:rsidRDefault="004640FE" w:rsidP="004640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hAnsi="Bookman Old Style"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Development Agency Team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640FE" w:rsidRDefault="00C376EE" w:rsidP="000C2556">
            <w:pPr>
              <w:ind w:left="360"/>
              <w:rPr>
                <w:rFonts w:ascii="Bookman Old Style" w:hAnsi="Bookman Old Style"/>
                <w:noProof/>
                <w:color w:val="002060"/>
              </w:rPr>
            </w:pPr>
            <w:r w:rsidRPr="00C376EE">
              <w:rPr>
                <w:rFonts w:ascii="Bookman Old Style" w:hAnsi="Bookman Old Style"/>
                <w:noProof/>
                <w:color w:val="002060"/>
                <w:lang w:val="en-GB" w:eastAsia="en-GB"/>
              </w:rPr>
              <w:pict>
                <v:rect id="_x0000_s1037" style="position:absolute;left:0;text-align:left;margin-left:5.6pt;margin-top:3.6pt;width:18pt;height:13.5pt;z-index:251670528;mso-position-horizontal-relative:text;mso-position-vertical-relative:text" fillcolor="#8db3e2 [1311]" strokecolor="#1f497d [3215]"/>
              </w:pict>
            </w:r>
          </w:p>
        </w:tc>
      </w:tr>
      <w:tr w:rsidR="004640FE" w:rsidTr="000C2556">
        <w:trPr>
          <w:trHeight w:val="1195"/>
        </w:trPr>
        <w:tc>
          <w:tcPr>
            <w:tcW w:w="8647" w:type="dxa"/>
            <w:gridSpan w:val="3"/>
            <w:shd w:val="clear" w:color="auto" w:fill="DDD9C3" w:themeFill="background2" w:themeFillShade="E6"/>
          </w:tcPr>
          <w:p w:rsidR="004640FE" w:rsidRPr="002878D5" w:rsidRDefault="004640FE" w:rsidP="004640FE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2878D5">
              <w:rPr>
                <w:rFonts w:ascii="Cambria" w:hAnsi="Cambria"/>
                <w:sz w:val="24"/>
                <w:szCs w:val="24"/>
              </w:rPr>
              <w:t xml:space="preserve">During the first Content Managers Workshop activities in </w:t>
            </w:r>
            <w:r>
              <w:rPr>
                <w:rFonts w:ascii="Cambria" w:hAnsi="Cambria"/>
                <w:sz w:val="24"/>
                <w:szCs w:val="24"/>
              </w:rPr>
              <w:t>T</w:t>
            </w:r>
            <w:r w:rsidRPr="002878D5">
              <w:rPr>
                <w:rFonts w:ascii="Cambria" w:hAnsi="Cambria"/>
                <w:sz w:val="24"/>
                <w:szCs w:val="24"/>
              </w:rPr>
              <w:t>oolkits 1 and 2 will be done.</w:t>
            </w:r>
          </w:p>
          <w:p w:rsidR="004640FE" w:rsidRPr="002878D5" w:rsidRDefault="004640FE" w:rsidP="004640FE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2878D5">
              <w:rPr>
                <w:rFonts w:ascii="Cambria" w:hAnsi="Cambria"/>
                <w:sz w:val="24"/>
                <w:szCs w:val="24"/>
              </w:rPr>
              <w:t xml:space="preserve">Agency team should consolidate the outcome of Toolkit 1 and 2 prior to the second workshop and submit to </w:t>
            </w:r>
            <w:hyperlink r:id="rId9" w:history="1">
              <w:r w:rsidRPr="002878D5">
                <w:rPr>
                  <w:rStyle w:val="Hyperlink"/>
                  <w:rFonts w:ascii="Cambria" w:hAnsi="Cambria"/>
                  <w:sz w:val="24"/>
                  <w:szCs w:val="24"/>
                </w:rPr>
                <w:t>wdc.assam@gov.in</w:t>
              </w:r>
            </w:hyperlink>
            <w:r w:rsidRPr="002878D5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4640FE" w:rsidRPr="004A29F3" w:rsidRDefault="004640FE" w:rsidP="004640FE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noProof/>
                <w:color w:val="002060"/>
              </w:rPr>
            </w:pPr>
            <w:r w:rsidRPr="002878D5">
              <w:rPr>
                <w:rFonts w:ascii="Cambria" w:hAnsi="Cambria"/>
                <w:sz w:val="24"/>
                <w:szCs w:val="24"/>
              </w:rPr>
              <w:t>During the second Content Managers Workshop Toolkit 3 will be done. Outcome of the first workshop</w:t>
            </w:r>
            <w:r>
              <w:rPr>
                <w:rFonts w:ascii="Cambria" w:hAnsi="Cambria"/>
                <w:sz w:val="24"/>
                <w:szCs w:val="24"/>
              </w:rPr>
              <w:t xml:space="preserve"> will be presented for activity of Toolkit 3.</w:t>
            </w:r>
          </w:p>
          <w:p w:rsidR="004A29F3" w:rsidRDefault="004A29F3" w:rsidP="004640FE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noProof/>
                <w:color w:val="002060"/>
              </w:rPr>
            </w:pPr>
            <w:r>
              <w:rPr>
                <w:rFonts w:ascii="Cambria" w:hAnsi="Cambria"/>
                <w:sz w:val="24"/>
                <w:szCs w:val="24"/>
              </w:rPr>
              <w:t>Agency should make a presentation which will include all major webistes in the sector, national and global. The strengths and weakness of each website should be highlighted</w:t>
            </w:r>
          </w:p>
        </w:tc>
      </w:tr>
    </w:tbl>
    <w:p w:rsidR="00497D81" w:rsidRPr="00336E33" w:rsidRDefault="00497D81" w:rsidP="00336E33">
      <w:pPr>
        <w:rPr>
          <w:rFonts w:ascii="Cambria" w:hAnsi="Cambria"/>
          <w:sz w:val="24"/>
          <w:szCs w:val="24"/>
        </w:rPr>
      </w:pPr>
    </w:p>
    <w:sectPr w:rsidR="00497D81" w:rsidRPr="00336E33" w:rsidSect="009D3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9C" w:rsidRDefault="0085469C" w:rsidP="003F5270">
      <w:pPr>
        <w:spacing w:after="0" w:line="240" w:lineRule="auto"/>
      </w:pPr>
      <w:r>
        <w:separator/>
      </w:r>
    </w:p>
  </w:endnote>
  <w:endnote w:type="continuationSeparator" w:id="1">
    <w:p w:rsidR="0085469C" w:rsidRDefault="0085469C" w:rsidP="003F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70" w:rsidRDefault="003F5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5110"/>
      <w:docPartObj>
        <w:docPartGallery w:val="Page Numbers (Bottom of Page)"/>
        <w:docPartUnique/>
      </w:docPartObj>
    </w:sdtPr>
    <w:sdtContent>
      <w:p w:rsidR="00336E33" w:rsidRDefault="00C376EE">
        <w:pPr>
          <w:pStyle w:val="Footer"/>
          <w:jc w:val="right"/>
        </w:pPr>
        <w:fldSimple w:instr=" PAGE   \* MERGEFORMAT ">
          <w:r w:rsidR="002D3C0B">
            <w:rPr>
              <w:noProof/>
            </w:rPr>
            <w:t>4</w:t>
          </w:r>
        </w:fldSimple>
      </w:p>
    </w:sdtContent>
  </w:sdt>
  <w:p w:rsidR="003F5270" w:rsidRDefault="003F52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70" w:rsidRDefault="003F5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9C" w:rsidRDefault="0085469C" w:rsidP="003F5270">
      <w:pPr>
        <w:spacing w:after="0" w:line="240" w:lineRule="auto"/>
      </w:pPr>
      <w:r>
        <w:separator/>
      </w:r>
    </w:p>
  </w:footnote>
  <w:footnote w:type="continuationSeparator" w:id="1">
    <w:p w:rsidR="0085469C" w:rsidRDefault="0085469C" w:rsidP="003F5270">
      <w:pPr>
        <w:spacing w:after="0" w:line="240" w:lineRule="auto"/>
      </w:pPr>
      <w:r>
        <w:continuationSeparator/>
      </w:r>
    </w:p>
  </w:footnote>
  <w:footnote w:id="2">
    <w:p w:rsidR="00497D81" w:rsidRPr="00E1709A" w:rsidRDefault="00497D81" w:rsidP="00497D81">
      <w:pPr>
        <w:pStyle w:val="FootnoteText"/>
        <w:rPr>
          <w:rFonts w:ascii="Cambria" w:hAnsi="Cambria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1709A">
        <w:rPr>
          <w:rFonts w:ascii="Cambria" w:hAnsi="Cambria"/>
        </w:rPr>
        <w:t>Details of Team Structure to include the names and designations of each member with their responsibilities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70" w:rsidRDefault="003F52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70" w:rsidRDefault="003F5270" w:rsidP="003F5270">
    <w:pPr>
      <w:pStyle w:val="Header"/>
      <w:jc w:val="right"/>
    </w:pPr>
    <w:r w:rsidRPr="003F5270">
      <w:rPr>
        <w:noProof/>
        <w:lang w:val="en-US" w:bidi="hi-IN"/>
      </w:rPr>
      <w:drawing>
        <wp:inline distT="0" distB="0" distL="0" distR="0">
          <wp:extent cx="887730" cy="430530"/>
          <wp:effectExtent l="19050" t="0" r="762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70" w:rsidRDefault="003F52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9EC"/>
    <w:multiLevelType w:val="hybridMultilevel"/>
    <w:tmpl w:val="BB984E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3B6"/>
    <w:multiLevelType w:val="hybridMultilevel"/>
    <w:tmpl w:val="BED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2FB6"/>
    <w:multiLevelType w:val="hybridMultilevel"/>
    <w:tmpl w:val="502046C4"/>
    <w:lvl w:ilvl="0" w:tplc="38C43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43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61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CF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69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2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47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63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03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71859"/>
    <w:multiLevelType w:val="hybridMultilevel"/>
    <w:tmpl w:val="72EC3F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C4A"/>
    <w:multiLevelType w:val="hybridMultilevel"/>
    <w:tmpl w:val="403A83BA"/>
    <w:lvl w:ilvl="0" w:tplc="6B24A4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040D"/>
    <w:multiLevelType w:val="hybridMultilevel"/>
    <w:tmpl w:val="42180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74A9A"/>
    <w:multiLevelType w:val="hybridMultilevel"/>
    <w:tmpl w:val="6FC8EB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5301"/>
    <w:multiLevelType w:val="hybridMultilevel"/>
    <w:tmpl w:val="229873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4453"/>
    <w:multiLevelType w:val="hybridMultilevel"/>
    <w:tmpl w:val="B532E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1F8E"/>
    <w:multiLevelType w:val="hybridMultilevel"/>
    <w:tmpl w:val="A91E98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A4F0C"/>
    <w:multiLevelType w:val="hybridMultilevel"/>
    <w:tmpl w:val="A2845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B4BDE"/>
    <w:multiLevelType w:val="hybridMultilevel"/>
    <w:tmpl w:val="82E27B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77CE4"/>
    <w:multiLevelType w:val="hybridMultilevel"/>
    <w:tmpl w:val="37AC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11C58"/>
    <w:multiLevelType w:val="hybridMultilevel"/>
    <w:tmpl w:val="7ABE2AC4"/>
    <w:lvl w:ilvl="0" w:tplc="FF40E7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0477B"/>
    <w:multiLevelType w:val="hybridMultilevel"/>
    <w:tmpl w:val="08167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923EA"/>
    <w:multiLevelType w:val="hybridMultilevel"/>
    <w:tmpl w:val="DD687E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985"/>
    <w:rsid w:val="00053099"/>
    <w:rsid w:val="00086F5F"/>
    <w:rsid w:val="000B32CC"/>
    <w:rsid w:val="000F7D2D"/>
    <w:rsid w:val="00190C71"/>
    <w:rsid w:val="001C2C9A"/>
    <w:rsid w:val="001D07FC"/>
    <w:rsid w:val="00225979"/>
    <w:rsid w:val="002278D3"/>
    <w:rsid w:val="00240A1E"/>
    <w:rsid w:val="002806CC"/>
    <w:rsid w:val="00293386"/>
    <w:rsid w:val="002C5634"/>
    <w:rsid w:val="002D3C0B"/>
    <w:rsid w:val="00325855"/>
    <w:rsid w:val="00336E33"/>
    <w:rsid w:val="00342C61"/>
    <w:rsid w:val="003468A7"/>
    <w:rsid w:val="003769DB"/>
    <w:rsid w:val="00376D4E"/>
    <w:rsid w:val="003B48F8"/>
    <w:rsid w:val="003C7536"/>
    <w:rsid w:val="003F5270"/>
    <w:rsid w:val="00454F50"/>
    <w:rsid w:val="0045654E"/>
    <w:rsid w:val="004640FE"/>
    <w:rsid w:val="00464497"/>
    <w:rsid w:val="00497D81"/>
    <w:rsid w:val="004A08E9"/>
    <w:rsid w:val="004A29F3"/>
    <w:rsid w:val="004D5758"/>
    <w:rsid w:val="0051116F"/>
    <w:rsid w:val="00525305"/>
    <w:rsid w:val="00553D4D"/>
    <w:rsid w:val="00597550"/>
    <w:rsid w:val="005B09CE"/>
    <w:rsid w:val="005D6376"/>
    <w:rsid w:val="005E34BB"/>
    <w:rsid w:val="00631222"/>
    <w:rsid w:val="0063216C"/>
    <w:rsid w:val="00662715"/>
    <w:rsid w:val="006A25A1"/>
    <w:rsid w:val="006D0CE5"/>
    <w:rsid w:val="00703742"/>
    <w:rsid w:val="00723410"/>
    <w:rsid w:val="0078447F"/>
    <w:rsid w:val="007A3E29"/>
    <w:rsid w:val="007C62FB"/>
    <w:rsid w:val="007F265E"/>
    <w:rsid w:val="00813ABD"/>
    <w:rsid w:val="00814904"/>
    <w:rsid w:val="0085469C"/>
    <w:rsid w:val="00864CC5"/>
    <w:rsid w:val="008E5D63"/>
    <w:rsid w:val="00955CD9"/>
    <w:rsid w:val="009560C1"/>
    <w:rsid w:val="00963669"/>
    <w:rsid w:val="00983B9D"/>
    <w:rsid w:val="009956D8"/>
    <w:rsid w:val="00997B3F"/>
    <w:rsid w:val="009A64EE"/>
    <w:rsid w:val="009D3133"/>
    <w:rsid w:val="009F4B0F"/>
    <w:rsid w:val="00A0328F"/>
    <w:rsid w:val="00A23B05"/>
    <w:rsid w:val="00A53402"/>
    <w:rsid w:val="00A732A0"/>
    <w:rsid w:val="00A9492A"/>
    <w:rsid w:val="00AA6FD1"/>
    <w:rsid w:val="00AC4985"/>
    <w:rsid w:val="00AD6C62"/>
    <w:rsid w:val="00B216BB"/>
    <w:rsid w:val="00B620A6"/>
    <w:rsid w:val="00B6594F"/>
    <w:rsid w:val="00BC7835"/>
    <w:rsid w:val="00BF3374"/>
    <w:rsid w:val="00C31F14"/>
    <w:rsid w:val="00C376EE"/>
    <w:rsid w:val="00C6563C"/>
    <w:rsid w:val="00CF015F"/>
    <w:rsid w:val="00D2796F"/>
    <w:rsid w:val="00D3796A"/>
    <w:rsid w:val="00D93925"/>
    <w:rsid w:val="00DE3DB7"/>
    <w:rsid w:val="00E1336F"/>
    <w:rsid w:val="00E1709A"/>
    <w:rsid w:val="00E50633"/>
    <w:rsid w:val="00E70E94"/>
    <w:rsid w:val="00EC6A60"/>
    <w:rsid w:val="00EF1965"/>
    <w:rsid w:val="00EF2C95"/>
    <w:rsid w:val="00EF6DC0"/>
    <w:rsid w:val="00F06130"/>
    <w:rsid w:val="00F16384"/>
    <w:rsid w:val="00F2578B"/>
    <w:rsid w:val="00F608EF"/>
    <w:rsid w:val="00F94140"/>
    <w:rsid w:val="00FA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C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70"/>
  </w:style>
  <w:style w:type="paragraph" w:styleId="Footer">
    <w:name w:val="footer"/>
    <w:basedOn w:val="Normal"/>
    <w:link w:val="FooterChar"/>
    <w:uiPriority w:val="99"/>
    <w:unhideWhenUsed/>
    <w:rsid w:val="003F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0"/>
  </w:style>
  <w:style w:type="paragraph" w:styleId="BalloonText">
    <w:name w:val="Balloon Text"/>
    <w:basedOn w:val="Normal"/>
    <w:link w:val="BalloonTextChar"/>
    <w:uiPriority w:val="99"/>
    <w:semiHidden/>
    <w:unhideWhenUsed/>
    <w:rsid w:val="003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7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0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355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260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960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106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912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766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c.assam@gov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dc.assam@gov.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53B6-4336-4A21-ACFF-07400DC7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2016-07-15T10:38:00Z</cp:lastPrinted>
  <dcterms:created xsi:type="dcterms:W3CDTF">2017-08-25T09:13:00Z</dcterms:created>
  <dcterms:modified xsi:type="dcterms:W3CDTF">2017-08-25T09:13:00Z</dcterms:modified>
</cp:coreProperties>
</file>